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Your Heading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Whichever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Crown Court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Address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Sirs,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RE: APPLICATION IN RESPECT OF HIGHWAYS ACT SECTION 56 NOTICE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(the complainant) served notice under Section 56, Sub-Section 1 of the Highways Act 1980 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Whichever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County Council (the respondent) (See attached copies) 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alleging that five roads, namely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list of roads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were: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highway maintainable at the public expense, or a highway which a person is liable to maintain under a special enactment or by reason of tenure, enclosure or prescription; and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 of repair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required that they state that they admit: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that the portion of highway referred to above is maintainable at the public expense, and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that the County Council is the authority liable to maintain the said highway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Whichever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County Council have failed to respond by service of the required Counter-Notice within the permitted one-month period and therefore I make application under Section 56, Sub-Section 2 to the Crown Court for an order that the Respondent put in repair the roads in question within whatever reasonable period the Court may determine.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provide the following information for each road in question in compliance with Section 56, Sub-Section 3: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the situation of the way or bridge to which the application relates: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Location of roads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the name of the respondent: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Whichever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County Council.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the part of the way or bridge which is alleged to be out of repair: Carriageway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</w:t>
        <w:tab/>
        <w:t xml:space="preserve">the nature of the alleged disrepair: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Name of road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Describe defects such as potholes, flooding, surface degradation, lack of road markings, etc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Yours Faithfully,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Signature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CC: 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Whichever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County Secretary by e-mail and post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bwsyebiik8x9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CC 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Whichever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Crown Court by e-mail</w:t>
      </w:r>
    </w:p>
    <w:sectPr>
      <w:headerReference r:id="rId6" w:type="default"/>
      <w:footerReference r:id="rId7" w:type="default"/>
      <w:pgSz w:h="16840" w:w="11900" w:orient="portrait"/>
      <w:pgMar w:bottom="1440" w:top="1440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